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F4FBF" w14:textId="77777777" w:rsidR="001E2CDB" w:rsidRPr="001E2CDB" w:rsidRDefault="001E2CDB" w:rsidP="001E2CDB">
      <w:pPr>
        <w:rPr>
          <w:rFonts w:ascii="Aptos Display" w:eastAsiaTheme="minorHAnsi" w:hAnsi="Aptos Display"/>
          <w:color w:val="008080"/>
          <w:sz w:val="32"/>
        </w:rPr>
      </w:pPr>
      <w:bookmarkStart w:id="0" w:name="_Hlk231311714"/>
      <w:r w:rsidRPr="001E2CDB">
        <w:rPr>
          <w:rFonts w:ascii="Aptos Display" w:eastAsiaTheme="minorHAnsi" w:hAnsi="Aptos Display"/>
          <w:color w:val="008080"/>
          <w:sz w:val="32"/>
        </w:rPr>
        <w:t>NYT Rebuttal: “Older Americans Are Hoarding America’s Potential” by Samuel Moyn</w:t>
      </w:r>
    </w:p>
    <w:p w14:paraId="3C1EE84E" w14:textId="10A5E7F0" w:rsidR="001B5383" w:rsidRDefault="001B5383" w:rsidP="001E2CDB">
      <w:pPr>
        <w:rPr>
          <w:rFonts w:eastAsiaTheme="minorHAnsi"/>
        </w:rPr>
      </w:pPr>
      <w:r>
        <w:rPr>
          <w:rFonts w:eastAsiaTheme="minorHAnsi"/>
        </w:rPr>
        <w:t>Submitted by Mackenzie Wann, Reframing Aging and Disability in Wisconsin, Advisory Committee Member</w:t>
      </w:r>
    </w:p>
    <w:p w14:paraId="57C311A0" w14:textId="464765F3" w:rsidR="001E2CDB" w:rsidRPr="001E2CDB" w:rsidRDefault="001E2CDB" w:rsidP="001E2CDB">
      <w:pPr>
        <w:rPr>
          <w:rFonts w:eastAsiaTheme="minorHAnsi"/>
        </w:rPr>
      </w:pPr>
      <w:r w:rsidRPr="001E2CDB">
        <w:rPr>
          <w:rFonts w:eastAsiaTheme="minorHAnsi"/>
        </w:rPr>
        <w:t xml:space="preserve">As a disabled advocate and wheelchair user, I’m acutely aware of how quickly society can begin to view certain populations as burdens rather than people. That’s why I found this article deeply troubling -- not because it discusses inequity between generations, but because it frames aging itself as a societal burden. That </w:t>
      </w:r>
      <w:r w:rsidRPr="001E2CDB">
        <w:rPr>
          <w:rFonts w:eastAsiaTheme="minorHAnsi"/>
          <w:i/>
          <w:iCs/>
        </w:rPr>
        <w:t>is</w:t>
      </w:r>
      <w:r w:rsidRPr="001E2CDB">
        <w:rPr>
          <w:rFonts w:eastAsiaTheme="minorHAnsi"/>
        </w:rPr>
        <w:t xml:space="preserve"> ageism, even if it is packaged as social justice. </w:t>
      </w:r>
    </w:p>
    <w:p w14:paraId="71880CA7" w14:textId="77777777" w:rsidR="001E2CDB" w:rsidRPr="001E2CDB" w:rsidRDefault="001E2CDB" w:rsidP="001E2CDB">
      <w:pPr>
        <w:rPr>
          <w:rFonts w:eastAsiaTheme="minorHAnsi"/>
        </w:rPr>
      </w:pPr>
      <w:r w:rsidRPr="001E2CDB">
        <w:rPr>
          <w:rFonts w:eastAsiaTheme="minorHAnsi"/>
        </w:rPr>
        <w:t>As someone who works in both age-friendly initiatives and disability advocacy, I spend a lot of time trying to break down stereotypes about aging and disability. This article didn’t challenge those stereotypes -- it reinforced them.</w:t>
      </w:r>
    </w:p>
    <w:p w14:paraId="0B5A4CB2" w14:textId="77777777" w:rsidR="001E2CDB" w:rsidRPr="001E2CDB" w:rsidRDefault="001E2CDB" w:rsidP="001E2CDB">
      <w:pPr>
        <w:rPr>
          <w:rFonts w:eastAsiaTheme="minorHAnsi"/>
        </w:rPr>
      </w:pPr>
      <w:r w:rsidRPr="001E2CDB">
        <w:rPr>
          <w:rFonts w:eastAsiaTheme="minorHAnsi"/>
        </w:rPr>
        <w:t>Older adults are not "hoarding" opportunities simply by living longer, working longer, or remaining engaged in civic life. Many are surviving within systems that fail to provide adequate long-term care, accessible housing, or economic security -- the same systems disabled people (of all ages) navigate every day.</w:t>
      </w:r>
    </w:p>
    <w:p w14:paraId="223CFD0B" w14:textId="33B13F39" w:rsidR="001E2CDB" w:rsidRPr="001E2CDB" w:rsidRDefault="001E2CDB" w:rsidP="001E2CDB">
      <w:pPr>
        <w:rPr>
          <w:rFonts w:eastAsiaTheme="minorHAnsi"/>
        </w:rPr>
      </w:pPr>
      <w:r w:rsidRPr="001E2CDB">
        <w:rPr>
          <w:rFonts w:eastAsiaTheme="minorHAnsi"/>
        </w:rPr>
        <w:t>In fact, approximately 47 to 51% of adults, age 65 and older in the United States live at or below 300% of the Federal Poverty Level (FPL). For one person household that equals $47,880 in</w:t>
      </w:r>
      <w:r w:rsidR="001B5383">
        <w:rPr>
          <w:rFonts w:eastAsiaTheme="minorHAnsi"/>
        </w:rPr>
        <w:t xml:space="preserve"> </w:t>
      </w:r>
      <w:r w:rsidRPr="001E2CDB">
        <w:rPr>
          <w:rFonts w:eastAsiaTheme="minorHAnsi"/>
        </w:rPr>
        <w:t xml:space="preserve"> annual income. According to the National Council on Aging, one in three adults age 65+ live at 200% of the FPL, earning an income of $31,920 or less annually. Further, economic insecurity is higher among minority older adults — 44.1% of Black and 42.1% Hispanic adults age 65+ have incomes below 200% of the FPL. (Read more about the data at: </w:t>
      </w:r>
      <w:hyperlink r:id="rId4" w:history="1">
        <w:r w:rsidRPr="001E2CDB">
          <w:rPr>
            <w:rFonts w:eastAsiaTheme="minorHAnsi"/>
            <w:color w:val="467886" w:themeColor="hyperlink"/>
            <w:u w:val="single"/>
          </w:rPr>
          <w:t>https://www.ncoa.org/article/get-the-facts-on-economic-security-for-seniors/</w:t>
        </w:r>
      </w:hyperlink>
      <w:r w:rsidRPr="001E2CDB">
        <w:rPr>
          <w:rFonts w:eastAsiaTheme="minorHAnsi"/>
        </w:rPr>
        <w:t>)</w:t>
      </w:r>
    </w:p>
    <w:p w14:paraId="18C44133" w14:textId="77777777" w:rsidR="001E2CDB" w:rsidRPr="001E2CDB" w:rsidRDefault="001E2CDB" w:rsidP="001E2CDB">
      <w:pPr>
        <w:rPr>
          <w:rFonts w:eastAsiaTheme="minorHAnsi"/>
        </w:rPr>
      </w:pPr>
      <w:r w:rsidRPr="001E2CDB">
        <w:rPr>
          <w:rFonts w:eastAsiaTheme="minorHAnsi"/>
        </w:rPr>
        <w:t>The article also ignores the reality that ageism and ableism are deeply interconnected. If we continue framing interdependence, accommodation, or longevity as problems to be managed, we reinforce the same ableist ideas that devalue disabled lives: that a person’s worth is tied to productivity or youth.</w:t>
      </w:r>
    </w:p>
    <w:p w14:paraId="3C060FD4" w14:textId="77777777" w:rsidR="001E2CDB" w:rsidRPr="001E2CDB" w:rsidRDefault="001E2CDB" w:rsidP="001E2CDB">
      <w:pPr>
        <w:rPr>
          <w:rFonts w:eastAsiaTheme="minorHAnsi"/>
        </w:rPr>
      </w:pPr>
      <w:r w:rsidRPr="001E2CDB">
        <w:rPr>
          <w:rFonts w:eastAsiaTheme="minorHAnsi"/>
        </w:rPr>
        <w:t xml:space="preserve">I also struggled with the fact that the article throws out a lot of statistics and conclusions without giving readers much context about where those numbers came from. I understand this was an opinion piece, not a research paper, but when you’re making sweeping claims about older adults and the future of our democracy, I think readers deserve more than just unsupported assertions -- </w:t>
      </w:r>
      <w:r w:rsidRPr="001E2CDB">
        <w:rPr>
          <w:rFonts w:eastAsiaTheme="minorHAnsi"/>
          <w:i/>
          <w:iCs/>
        </w:rPr>
        <w:t>even</w:t>
      </w:r>
      <w:r w:rsidRPr="001E2CDB">
        <w:rPr>
          <w:rFonts w:eastAsiaTheme="minorHAnsi"/>
        </w:rPr>
        <w:t xml:space="preserve"> in an opinion piece.</w:t>
      </w:r>
    </w:p>
    <w:p w14:paraId="4F9A0ABC" w14:textId="77777777" w:rsidR="001E2CDB" w:rsidRPr="001E2CDB" w:rsidRDefault="001E2CDB" w:rsidP="001E2CDB">
      <w:pPr>
        <w:rPr>
          <w:rFonts w:eastAsiaTheme="minorHAnsi"/>
        </w:rPr>
      </w:pPr>
      <w:r w:rsidRPr="001E2CDB">
        <w:rPr>
          <w:rFonts w:eastAsiaTheme="minorHAnsi"/>
        </w:rPr>
        <w:lastRenderedPageBreak/>
        <w:t xml:space="preserve">I absolutely agree that younger generations are facing real barriers. What I disagree with is the idea that older adults themselves </w:t>
      </w:r>
      <w:r w:rsidRPr="001E2CDB">
        <w:rPr>
          <w:rFonts w:eastAsiaTheme="minorHAnsi"/>
          <w:i/>
          <w:iCs/>
        </w:rPr>
        <w:t>are</w:t>
      </w:r>
      <w:r w:rsidRPr="001E2CDB">
        <w:rPr>
          <w:rFonts w:eastAsiaTheme="minorHAnsi"/>
        </w:rPr>
        <w:t xml:space="preserve"> the barrier. Are older adults really the problem here, or are we looking at decades of policy decisions that concentrated wealth and opportunity in the hands of a relatively small group of people?</w:t>
      </w:r>
    </w:p>
    <w:p w14:paraId="639ABC84" w14:textId="49C96DB2" w:rsidR="001E2CDB" w:rsidRPr="001E2CDB" w:rsidRDefault="001E2CDB" w:rsidP="001E2CDB">
      <w:pPr>
        <w:rPr>
          <w:rFonts w:eastAsiaTheme="minorHAnsi"/>
        </w:rPr>
      </w:pPr>
      <w:r w:rsidRPr="001E2CDB">
        <w:rPr>
          <w:rFonts w:eastAsiaTheme="minorHAnsi"/>
        </w:rPr>
        <w:t xml:space="preserve">We should certainly address economic inequality and barriers facing younger generations. But generational blaming is a whack-a-mole approach to problem-solving. It may create the appearance of action, but it leaves the underlying policy failures untouched. And blaming older adults instead of addressing broken policies pits generations against one other rather than building the intergenerational solidarity </w:t>
      </w:r>
      <w:r w:rsidR="006C340D">
        <w:rPr>
          <w:rFonts w:eastAsiaTheme="minorHAnsi"/>
        </w:rPr>
        <w:t xml:space="preserve">that </w:t>
      </w:r>
      <w:r w:rsidRPr="001E2CDB">
        <w:rPr>
          <w:rFonts w:eastAsiaTheme="minorHAnsi"/>
        </w:rPr>
        <w:t xml:space="preserve">we actually need. </w:t>
      </w:r>
    </w:p>
    <w:p w14:paraId="423EF536" w14:textId="75CFBC15" w:rsidR="001E2CDB" w:rsidRPr="001E2CDB" w:rsidRDefault="001E2CDB" w:rsidP="001E2CDB">
      <w:pPr>
        <w:rPr>
          <w:rFonts w:eastAsiaTheme="minorHAnsi"/>
        </w:rPr>
      </w:pPr>
      <w:r w:rsidRPr="001E2CDB">
        <w:rPr>
          <w:rFonts w:eastAsiaTheme="minorHAnsi"/>
        </w:rPr>
        <w:t>If we're serious about addressing things like housing, economic inequality, and political representation, I'm not convinced that “blame old people” is the sophisticated policy solution we're looking for. It feels less like a serious discussion of policy and more lik</w:t>
      </w:r>
      <w:bookmarkEnd w:id="0"/>
      <w:r>
        <w:rPr>
          <w:rFonts w:eastAsiaTheme="minorHAnsi"/>
        </w:rPr>
        <w:t xml:space="preserve">e a </w:t>
      </w:r>
      <w:r w:rsidRPr="001E2CDB">
        <w:rPr>
          <w:rFonts w:eastAsiaTheme="minorHAnsi"/>
        </w:rPr>
        <w:t>narrative of division, disguised as a solution.</w:t>
      </w:r>
    </w:p>
    <w:p w14:paraId="0DDF5FD6" w14:textId="77777777" w:rsidR="001E2CDB" w:rsidRDefault="001E2CDB"/>
    <w:sectPr w:rsidR="001E2CDB" w:rsidSect="001E2C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CDB"/>
    <w:rsid w:val="001B5383"/>
    <w:rsid w:val="001E2CDB"/>
    <w:rsid w:val="00226DFA"/>
    <w:rsid w:val="0034297A"/>
    <w:rsid w:val="006C340D"/>
    <w:rsid w:val="007739B5"/>
    <w:rsid w:val="00950FE0"/>
    <w:rsid w:val="00D160C7"/>
    <w:rsid w:val="00F64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1A0AD"/>
  <w15:chartTrackingRefBased/>
  <w15:docId w15:val="{62A75753-F6D3-1349-AECC-D1DC32DA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C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2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CDB"/>
    <w:rPr>
      <w:rFonts w:eastAsiaTheme="majorEastAsia" w:cstheme="majorBidi"/>
      <w:color w:val="272727" w:themeColor="text1" w:themeTint="D8"/>
    </w:rPr>
  </w:style>
  <w:style w:type="paragraph" w:styleId="Title">
    <w:name w:val="Title"/>
    <w:basedOn w:val="Normal"/>
    <w:next w:val="Normal"/>
    <w:link w:val="TitleChar"/>
    <w:uiPriority w:val="10"/>
    <w:qFormat/>
    <w:rsid w:val="001E2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CDB"/>
    <w:pPr>
      <w:spacing w:before="160"/>
      <w:jc w:val="center"/>
    </w:pPr>
    <w:rPr>
      <w:i/>
      <w:iCs/>
      <w:color w:val="404040" w:themeColor="text1" w:themeTint="BF"/>
    </w:rPr>
  </w:style>
  <w:style w:type="character" w:customStyle="1" w:styleId="QuoteChar">
    <w:name w:val="Quote Char"/>
    <w:basedOn w:val="DefaultParagraphFont"/>
    <w:link w:val="Quote"/>
    <w:uiPriority w:val="29"/>
    <w:rsid w:val="001E2CDB"/>
    <w:rPr>
      <w:i/>
      <w:iCs/>
      <w:color w:val="404040" w:themeColor="text1" w:themeTint="BF"/>
    </w:rPr>
  </w:style>
  <w:style w:type="paragraph" w:styleId="ListParagraph">
    <w:name w:val="List Paragraph"/>
    <w:basedOn w:val="Normal"/>
    <w:uiPriority w:val="34"/>
    <w:qFormat/>
    <w:rsid w:val="001E2CDB"/>
    <w:pPr>
      <w:ind w:left="720"/>
      <w:contextualSpacing/>
    </w:pPr>
  </w:style>
  <w:style w:type="character" w:styleId="IntenseEmphasis">
    <w:name w:val="Intense Emphasis"/>
    <w:basedOn w:val="DefaultParagraphFont"/>
    <w:uiPriority w:val="21"/>
    <w:qFormat/>
    <w:rsid w:val="001E2CDB"/>
    <w:rPr>
      <w:i/>
      <w:iCs/>
      <w:color w:val="0F4761" w:themeColor="accent1" w:themeShade="BF"/>
    </w:rPr>
  </w:style>
  <w:style w:type="paragraph" w:styleId="IntenseQuote">
    <w:name w:val="Intense Quote"/>
    <w:basedOn w:val="Normal"/>
    <w:next w:val="Normal"/>
    <w:link w:val="IntenseQuoteChar"/>
    <w:uiPriority w:val="30"/>
    <w:qFormat/>
    <w:rsid w:val="001E2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CDB"/>
    <w:rPr>
      <w:i/>
      <w:iCs/>
      <w:color w:val="0F4761" w:themeColor="accent1" w:themeShade="BF"/>
    </w:rPr>
  </w:style>
  <w:style w:type="character" w:styleId="IntenseReference">
    <w:name w:val="Intense Reference"/>
    <w:basedOn w:val="DefaultParagraphFont"/>
    <w:uiPriority w:val="32"/>
    <w:qFormat/>
    <w:rsid w:val="001E2CDB"/>
    <w:rPr>
      <w:b/>
      <w:bCs/>
      <w:smallCaps/>
      <w:color w:val="0F4761" w:themeColor="accent1" w:themeShade="BF"/>
      <w:spacing w:val="5"/>
    </w:rPr>
  </w:style>
  <w:style w:type="character" w:styleId="CommentReference">
    <w:name w:val="annotation reference"/>
    <w:basedOn w:val="DefaultParagraphFont"/>
    <w:uiPriority w:val="99"/>
    <w:semiHidden/>
    <w:unhideWhenUsed/>
    <w:rsid w:val="001E2CDB"/>
    <w:rPr>
      <w:sz w:val="16"/>
      <w:szCs w:val="16"/>
    </w:rPr>
  </w:style>
  <w:style w:type="paragraph" w:styleId="CommentText">
    <w:name w:val="annotation text"/>
    <w:basedOn w:val="Normal"/>
    <w:link w:val="CommentTextChar"/>
    <w:uiPriority w:val="99"/>
    <w:unhideWhenUsed/>
    <w:rsid w:val="001E2CDB"/>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1E2CDB"/>
    <w:rPr>
      <w:rFonts w:eastAsiaTheme="minorHAnsi"/>
      <w:sz w:val="20"/>
      <w:szCs w:val="20"/>
    </w:rPr>
  </w:style>
  <w:style w:type="character" w:styleId="Hyperlink">
    <w:name w:val="Hyperlink"/>
    <w:basedOn w:val="DefaultParagraphFont"/>
    <w:uiPriority w:val="99"/>
    <w:unhideWhenUsed/>
    <w:rsid w:val="001E2CD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coa.org/article/get-the-facts-on-economic-security-for-seni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Wann, Mackenzie J - DHS (BPDD)</dc:creator>
  <cp:keywords/>
  <dc:description/>
  <cp:lastModifiedBy>Sampson, Helen M - DHS</cp:lastModifiedBy>
  <cp:revision>3</cp:revision>
  <dcterms:created xsi:type="dcterms:W3CDTF">2026-06-15T13:10:00Z</dcterms:created>
  <dcterms:modified xsi:type="dcterms:W3CDTF">2026-08-17T16:22:00Z</dcterms:modified>
</cp:coreProperties>
</file>